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9E8D" w14:textId="1E957F75" w:rsidR="00676C44" w:rsidRPr="00080C61" w:rsidRDefault="00676C44" w:rsidP="005A6906">
      <w:pPr>
        <w:jc w:val="both"/>
        <w:rPr>
          <w:b/>
          <w:noProof w:val="0"/>
          <w:sz w:val="32"/>
          <w:szCs w:val="32"/>
        </w:rPr>
      </w:pPr>
      <w:r w:rsidRPr="00CA52FD">
        <w:rPr>
          <w:b/>
          <w:sz w:val="36"/>
          <w:szCs w:val="36"/>
        </w:rPr>
        <w:drawing>
          <wp:anchor distT="0" distB="0" distL="114300" distR="114300" simplePos="0" relativeHeight="251659264" behindDoc="0" locked="0" layoutInCell="1" allowOverlap="1" wp14:anchorId="6AF76DAD" wp14:editId="22041FDE">
            <wp:simplePos x="0" y="0"/>
            <wp:positionH relativeFrom="column">
              <wp:posOffset>3429000</wp:posOffset>
            </wp:positionH>
            <wp:positionV relativeFrom="paragraph">
              <wp:posOffset>-114300</wp:posOffset>
            </wp:positionV>
            <wp:extent cx="685800" cy="601980"/>
            <wp:effectExtent l="0" t="0" r="0" b="7620"/>
            <wp:wrapTight wrapText="bothSides">
              <wp:wrapPolygon edited="0">
                <wp:start x="8000" y="0"/>
                <wp:lineTo x="4000" y="3646"/>
                <wp:lineTo x="800" y="10025"/>
                <wp:lineTo x="800" y="17316"/>
                <wp:lineTo x="6400" y="20962"/>
                <wp:lineTo x="13600" y="20962"/>
                <wp:lineTo x="17600" y="16405"/>
                <wp:lineTo x="19200" y="10937"/>
                <wp:lineTo x="17600" y="5468"/>
                <wp:lineTo x="13600" y="0"/>
                <wp:lineTo x="8000" y="0"/>
              </wp:wrapPolygon>
            </wp:wrapTight>
            <wp:docPr id="1" name="Bild 1" descr="Macintosh HD:Users:admin:Desktop:SELO:KUTU:Logolar Ve Teknik Yazisma:ATIK:Kenarları Beyaz.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ELO:KUTU:Logolar Ve Teknik Yazisma:ATIK:Kenarları Beyaz.p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9B1" w:rsidRPr="00080C61">
        <w:rPr>
          <w:b/>
          <w:noProof w:val="0"/>
          <w:sz w:val="32"/>
          <w:szCs w:val="32"/>
        </w:rPr>
        <w:t>Schweizer Komitee Solidarität mit ATI</w:t>
      </w:r>
      <w:r w:rsidRPr="00080C61">
        <w:rPr>
          <w:b/>
          <w:noProof w:val="0"/>
          <w:sz w:val="32"/>
          <w:szCs w:val="32"/>
        </w:rPr>
        <w:t xml:space="preserve">K </w:t>
      </w:r>
    </w:p>
    <w:p w14:paraId="7DF0707E" w14:textId="77777777" w:rsidR="002B49B1" w:rsidRPr="00CA52FD" w:rsidRDefault="002B49B1" w:rsidP="00676C44">
      <w:pPr>
        <w:rPr>
          <w:b/>
          <w:noProof w:val="0"/>
          <w:sz w:val="32"/>
          <w:szCs w:val="32"/>
        </w:rPr>
      </w:pPr>
    </w:p>
    <w:p w14:paraId="0C1899D9" w14:textId="77777777" w:rsidR="00676C44" w:rsidRPr="00CA52FD" w:rsidRDefault="00676C44" w:rsidP="00676C44">
      <w:pPr>
        <w:rPr>
          <w:b/>
          <w:noProof w:val="0"/>
          <w:sz w:val="32"/>
          <w:szCs w:val="32"/>
        </w:rPr>
      </w:pPr>
    </w:p>
    <w:p w14:paraId="7F4C2AAE" w14:textId="77777777" w:rsidR="00080C61" w:rsidRDefault="00080C61" w:rsidP="005A6906">
      <w:pPr>
        <w:rPr>
          <w:b/>
          <w:noProof w:val="0"/>
          <w:sz w:val="32"/>
          <w:szCs w:val="32"/>
        </w:rPr>
      </w:pPr>
    </w:p>
    <w:p w14:paraId="280E4AC6" w14:textId="77777777" w:rsidR="00676C44" w:rsidRPr="005A6906" w:rsidRDefault="003F3651" w:rsidP="005A6906">
      <w:pPr>
        <w:jc w:val="center"/>
        <w:rPr>
          <w:rFonts w:ascii="Arial" w:hAnsi="Arial"/>
          <w:b/>
          <w:noProof w:val="0"/>
          <w:sz w:val="28"/>
          <w:szCs w:val="28"/>
        </w:rPr>
      </w:pPr>
      <w:r w:rsidRPr="005A6906">
        <w:rPr>
          <w:rFonts w:ascii="Arial" w:hAnsi="Arial"/>
          <w:b/>
          <w:noProof w:val="0"/>
          <w:sz w:val="28"/>
          <w:szCs w:val="28"/>
        </w:rPr>
        <w:t xml:space="preserve">Erklärung an die </w:t>
      </w:r>
      <w:r w:rsidR="00676C44" w:rsidRPr="005A6906">
        <w:rPr>
          <w:rFonts w:ascii="Arial" w:hAnsi="Arial"/>
          <w:b/>
          <w:noProof w:val="0"/>
          <w:sz w:val="28"/>
          <w:szCs w:val="28"/>
        </w:rPr>
        <w:t xml:space="preserve">Presse und </w:t>
      </w:r>
      <w:r w:rsidRPr="005A6906">
        <w:rPr>
          <w:rFonts w:ascii="Arial" w:hAnsi="Arial"/>
          <w:b/>
          <w:noProof w:val="0"/>
          <w:sz w:val="28"/>
          <w:szCs w:val="28"/>
        </w:rPr>
        <w:t xml:space="preserve">die </w:t>
      </w:r>
      <w:r w:rsidR="00676C44" w:rsidRPr="005A6906">
        <w:rPr>
          <w:rFonts w:ascii="Arial" w:hAnsi="Arial"/>
          <w:b/>
          <w:noProof w:val="0"/>
          <w:sz w:val="28"/>
          <w:szCs w:val="28"/>
        </w:rPr>
        <w:t>Öffentlichkeit</w:t>
      </w:r>
    </w:p>
    <w:p w14:paraId="4757679E" w14:textId="77777777" w:rsidR="00676C44" w:rsidRPr="00080C61" w:rsidRDefault="00676C44" w:rsidP="00080C61">
      <w:pPr>
        <w:jc w:val="both"/>
        <w:rPr>
          <w:rFonts w:ascii="Arial" w:hAnsi="Arial"/>
          <w:noProof w:val="0"/>
        </w:rPr>
      </w:pPr>
    </w:p>
    <w:p w14:paraId="7F2F027E" w14:textId="77777777" w:rsidR="00676C44" w:rsidRPr="00080C61" w:rsidRDefault="00676C44" w:rsidP="00080C61">
      <w:pPr>
        <w:jc w:val="both"/>
        <w:rPr>
          <w:rFonts w:ascii="Arial" w:hAnsi="Arial"/>
          <w:b/>
          <w:noProof w:val="0"/>
        </w:rPr>
      </w:pPr>
      <w:bookmarkStart w:id="0" w:name="_GoBack"/>
      <w:bookmarkEnd w:id="0"/>
    </w:p>
    <w:p w14:paraId="497FA3C5" w14:textId="77777777" w:rsidR="00676C44" w:rsidRPr="00080C61" w:rsidRDefault="00676C44" w:rsidP="00080C61">
      <w:pPr>
        <w:jc w:val="both"/>
        <w:rPr>
          <w:rFonts w:ascii="Arial" w:hAnsi="Arial"/>
          <w:b/>
          <w:noProof w:val="0"/>
        </w:rPr>
      </w:pPr>
      <w:r w:rsidRPr="00080C61">
        <w:rPr>
          <w:rFonts w:ascii="Arial" w:hAnsi="Arial"/>
          <w:b/>
          <w:noProof w:val="0"/>
        </w:rPr>
        <w:t>BERN, 22.06.2015</w:t>
      </w:r>
    </w:p>
    <w:p w14:paraId="40BA8A1E" w14:textId="77777777" w:rsidR="00676C44" w:rsidRPr="00080C61" w:rsidRDefault="00676C44" w:rsidP="00080C61">
      <w:pPr>
        <w:jc w:val="both"/>
        <w:rPr>
          <w:rFonts w:ascii="Arial" w:hAnsi="Arial"/>
          <w:noProof w:val="0"/>
        </w:rPr>
      </w:pPr>
    </w:p>
    <w:p w14:paraId="4F517AA9" w14:textId="77777777" w:rsidR="002B49B1" w:rsidRPr="00080C61" w:rsidRDefault="002B49B1" w:rsidP="00080C61">
      <w:pPr>
        <w:jc w:val="both"/>
        <w:rPr>
          <w:rFonts w:ascii="Arial" w:hAnsi="Arial"/>
          <w:noProof w:val="0"/>
        </w:rPr>
      </w:pPr>
      <w:r w:rsidRPr="00080C61">
        <w:rPr>
          <w:rFonts w:ascii="Arial" w:hAnsi="Arial"/>
          <w:noProof w:val="0"/>
        </w:rPr>
        <w:t xml:space="preserve">Am 15. April 2015 wurden auf Anweisung der Regierung der Bundesrepublik Deutschland 12 Aktivisten der Europäischen Konföderation Türkischer Arbeiter (ATIK) in Deutschland, Frankreich, der Schweiz und Griechenland verhaftet. </w:t>
      </w:r>
      <w:r w:rsidR="007B2189" w:rsidRPr="00080C61">
        <w:rPr>
          <w:rFonts w:ascii="Arial" w:hAnsi="Arial"/>
          <w:noProof w:val="0"/>
        </w:rPr>
        <w:t>Als Festnahmegrund wurde der Verdacht auf Mitgliedschaft in einer terroristischen Vereinigung angegeben. Es wurde Ank</w:t>
      </w:r>
      <w:r w:rsidR="00CA52FD" w:rsidRPr="00080C61">
        <w:rPr>
          <w:rFonts w:ascii="Arial" w:hAnsi="Arial"/>
          <w:noProof w:val="0"/>
        </w:rPr>
        <w:t xml:space="preserve">lage </w:t>
      </w:r>
      <w:proofErr w:type="spellStart"/>
      <w:r w:rsidR="00CA52FD" w:rsidRPr="00080C61">
        <w:rPr>
          <w:rFonts w:ascii="Arial" w:hAnsi="Arial"/>
          <w:noProof w:val="0"/>
        </w:rPr>
        <w:t>gemäss</w:t>
      </w:r>
      <w:proofErr w:type="spellEnd"/>
      <w:r w:rsidR="00CA52FD" w:rsidRPr="00080C61">
        <w:rPr>
          <w:rFonts w:ascii="Arial" w:hAnsi="Arial"/>
          <w:noProof w:val="0"/>
        </w:rPr>
        <w:t xml:space="preserve"> § 129 a, b erhoben.</w:t>
      </w:r>
      <w:r w:rsidR="007B2189" w:rsidRPr="00080C61">
        <w:rPr>
          <w:rFonts w:ascii="Arial" w:hAnsi="Arial"/>
          <w:noProof w:val="0"/>
        </w:rPr>
        <w:t xml:space="preserve"> </w:t>
      </w:r>
    </w:p>
    <w:p w14:paraId="03DB9677" w14:textId="77777777" w:rsidR="007B2189" w:rsidRPr="00080C61" w:rsidRDefault="007B2189" w:rsidP="00080C61">
      <w:pPr>
        <w:jc w:val="both"/>
        <w:rPr>
          <w:rFonts w:ascii="Arial" w:hAnsi="Arial"/>
          <w:noProof w:val="0"/>
        </w:rPr>
      </w:pPr>
    </w:p>
    <w:p w14:paraId="1A280A61" w14:textId="77777777" w:rsidR="007B2189" w:rsidRPr="00080C61" w:rsidRDefault="003E216B" w:rsidP="00080C61">
      <w:pPr>
        <w:jc w:val="both"/>
        <w:rPr>
          <w:rFonts w:ascii="Arial" w:hAnsi="Arial"/>
          <w:noProof w:val="0"/>
        </w:rPr>
      </w:pPr>
      <w:r w:rsidRPr="00080C61">
        <w:rPr>
          <w:rFonts w:ascii="Arial" w:hAnsi="Arial"/>
          <w:noProof w:val="0"/>
        </w:rPr>
        <w:t xml:space="preserve">Seit beinahe 30 Jahren führt ATIK seinen legalen und legitimen Kampf. In Zusammenarbeit von Deutschland und der Türkei wird versucht, </w:t>
      </w:r>
      <w:r w:rsidR="003B60C7" w:rsidRPr="00080C61">
        <w:rPr>
          <w:rFonts w:ascii="Arial" w:hAnsi="Arial"/>
          <w:noProof w:val="0"/>
        </w:rPr>
        <w:t xml:space="preserve">durch Angriffe auf </w:t>
      </w:r>
      <w:r w:rsidRPr="00080C61">
        <w:rPr>
          <w:rFonts w:ascii="Arial" w:hAnsi="Arial"/>
          <w:noProof w:val="0"/>
        </w:rPr>
        <w:t xml:space="preserve">die Aktivisten von ATIK und der ihr angeschlossenen nationalen Föderationen (in der Schweiz, Deutschland, Frankreich, Österreich, Holland, </w:t>
      </w:r>
      <w:proofErr w:type="spellStart"/>
      <w:r w:rsidRPr="00080C61">
        <w:rPr>
          <w:rFonts w:ascii="Arial" w:hAnsi="Arial"/>
          <w:noProof w:val="0"/>
        </w:rPr>
        <w:t>Grossbritannien</w:t>
      </w:r>
      <w:proofErr w:type="spellEnd"/>
      <w:r w:rsidRPr="00080C61">
        <w:rPr>
          <w:rFonts w:ascii="Arial" w:hAnsi="Arial"/>
          <w:noProof w:val="0"/>
        </w:rPr>
        <w:t xml:space="preserve">, Belgien und Griechenland) </w:t>
      </w:r>
      <w:r w:rsidR="003B60C7" w:rsidRPr="00080C61">
        <w:rPr>
          <w:rFonts w:ascii="Arial" w:hAnsi="Arial"/>
          <w:noProof w:val="0"/>
        </w:rPr>
        <w:t xml:space="preserve">ATIK, die ein europäisches Konzept vertritt, als Terrorvereinigung hinzustellen und abzuurteilen. </w:t>
      </w:r>
    </w:p>
    <w:p w14:paraId="0D22F918" w14:textId="77777777" w:rsidR="002B49B1" w:rsidRPr="00080C61" w:rsidRDefault="002B49B1" w:rsidP="00080C61">
      <w:pPr>
        <w:jc w:val="both"/>
        <w:rPr>
          <w:rFonts w:ascii="Arial" w:hAnsi="Arial"/>
          <w:noProof w:val="0"/>
        </w:rPr>
      </w:pPr>
    </w:p>
    <w:p w14:paraId="11BAB6A2" w14:textId="77777777" w:rsidR="00676C44" w:rsidRPr="00080C61" w:rsidRDefault="008C7CC1" w:rsidP="00080C61">
      <w:pPr>
        <w:jc w:val="both"/>
        <w:rPr>
          <w:rFonts w:ascii="Arial" w:hAnsi="Arial"/>
          <w:noProof w:val="0"/>
        </w:rPr>
      </w:pPr>
      <w:r w:rsidRPr="00080C61">
        <w:rPr>
          <w:rFonts w:ascii="Arial" w:hAnsi="Arial"/>
          <w:noProof w:val="0"/>
        </w:rPr>
        <w:t>Nicht nur in Deutschland wurden Revolutionäre festgenommen</w:t>
      </w:r>
      <w:r w:rsidR="002D3E37" w:rsidRPr="00080C61">
        <w:rPr>
          <w:rFonts w:ascii="Arial" w:hAnsi="Arial"/>
          <w:noProof w:val="0"/>
        </w:rPr>
        <w:t>,</w:t>
      </w:r>
      <w:r w:rsidRPr="00080C61">
        <w:rPr>
          <w:rFonts w:ascii="Arial" w:hAnsi="Arial"/>
          <w:noProof w:val="0"/>
        </w:rPr>
        <w:t xml:space="preserve"> sondern auch in der Schweiz, in Frankreich und Griechenland, </w:t>
      </w:r>
      <w:r w:rsidR="00F847C8" w:rsidRPr="00080C61">
        <w:rPr>
          <w:rFonts w:ascii="Arial" w:hAnsi="Arial"/>
          <w:noProof w:val="0"/>
        </w:rPr>
        <w:t xml:space="preserve">und </w:t>
      </w:r>
      <w:r w:rsidRPr="00080C61">
        <w:rPr>
          <w:rFonts w:ascii="Arial" w:hAnsi="Arial"/>
          <w:noProof w:val="0"/>
        </w:rPr>
        <w:t xml:space="preserve">deren Auslieferung nach Deutschland </w:t>
      </w:r>
      <w:r w:rsidR="00F847C8" w:rsidRPr="00080C61">
        <w:rPr>
          <w:rFonts w:ascii="Arial" w:hAnsi="Arial"/>
          <w:noProof w:val="0"/>
        </w:rPr>
        <w:t>durch den</w:t>
      </w:r>
      <w:r w:rsidRPr="00080C61">
        <w:rPr>
          <w:rFonts w:ascii="Arial" w:hAnsi="Arial"/>
          <w:noProof w:val="0"/>
        </w:rPr>
        <w:t xml:space="preserve"> deutsche</w:t>
      </w:r>
      <w:r w:rsidR="00F847C8" w:rsidRPr="00080C61">
        <w:rPr>
          <w:rFonts w:ascii="Arial" w:hAnsi="Arial"/>
          <w:noProof w:val="0"/>
        </w:rPr>
        <w:t>n</w:t>
      </w:r>
      <w:r w:rsidRPr="00080C61">
        <w:rPr>
          <w:rFonts w:ascii="Arial" w:hAnsi="Arial"/>
          <w:noProof w:val="0"/>
        </w:rPr>
        <w:t xml:space="preserve"> Staat verlangt. Deutschland nutzt dabei sein politisches Gewicht, um gleichsam unter Missachtung von Recht und Gesetz Druck auszuüben.  </w:t>
      </w:r>
    </w:p>
    <w:p w14:paraId="42FD1F12" w14:textId="77777777" w:rsidR="008C7CC1" w:rsidRPr="00080C61" w:rsidRDefault="008C7CC1" w:rsidP="00080C61">
      <w:pPr>
        <w:jc w:val="both"/>
        <w:rPr>
          <w:rFonts w:ascii="Arial" w:hAnsi="Arial"/>
          <w:noProof w:val="0"/>
        </w:rPr>
      </w:pPr>
    </w:p>
    <w:p w14:paraId="039DD48D" w14:textId="77777777" w:rsidR="003B60C7" w:rsidRPr="00080C61" w:rsidRDefault="008C7CC1" w:rsidP="00080C61">
      <w:pPr>
        <w:jc w:val="both"/>
        <w:rPr>
          <w:rFonts w:ascii="Arial" w:hAnsi="Arial"/>
          <w:noProof w:val="0"/>
        </w:rPr>
      </w:pPr>
      <w:r w:rsidRPr="00080C61">
        <w:rPr>
          <w:rFonts w:ascii="Arial" w:hAnsi="Arial"/>
          <w:noProof w:val="0"/>
        </w:rPr>
        <w:t>Obwohl der Schweiz diese Umstände bekannt sind, hat das Schweizer Justizministerium</w:t>
      </w:r>
      <w:r w:rsidR="00CA52FD" w:rsidRPr="00080C61">
        <w:rPr>
          <w:rFonts w:ascii="Arial" w:hAnsi="Arial"/>
          <w:noProof w:val="0"/>
        </w:rPr>
        <w:t>,</w:t>
      </w:r>
      <w:r w:rsidRPr="00080C61">
        <w:rPr>
          <w:rFonts w:ascii="Arial" w:hAnsi="Arial"/>
          <w:noProof w:val="0"/>
        </w:rPr>
        <w:t xml:space="preserve"> unter Verletzung der </w:t>
      </w:r>
      <w:r w:rsidR="00FB0D9F" w:rsidRPr="00080C61">
        <w:rPr>
          <w:rFonts w:ascii="Arial" w:hAnsi="Arial"/>
          <w:noProof w:val="0"/>
        </w:rPr>
        <w:t xml:space="preserve">Genfer Konvention am 19.06.2015 und ohne </w:t>
      </w:r>
      <w:r w:rsidR="00CA52FD" w:rsidRPr="00080C61">
        <w:rPr>
          <w:rFonts w:ascii="Arial" w:hAnsi="Arial"/>
          <w:noProof w:val="0"/>
        </w:rPr>
        <w:t xml:space="preserve">sich </w:t>
      </w:r>
      <w:r w:rsidR="00FB0D9F" w:rsidRPr="00080C61">
        <w:rPr>
          <w:rFonts w:ascii="Arial" w:hAnsi="Arial"/>
          <w:noProof w:val="0"/>
        </w:rPr>
        <w:t xml:space="preserve">an </w:t>
      </w:r>
      <w:r w:rsidR="00CA52FD" w:rsidRPr="00080C61">
        <w:rPr>
          <w:rFonts w:ascii="Arial" w:hAnsi="Arial"/>
          <w:noProof w:val="0"/>
        </w:rPr>
        <w:t>die</w:t>
      </w:r>
      <w:r w:rsidR="00FB0D9F" w:rsidRPr="00080C61">
        <w:rPr>
          <w:rFonts w:ascii="Arial" w:hAnsi="Arial"/>
          <w:noProof w:val="0"/>
        </w:rPr>
        <w:t xml:space="preserve"> eigenen Gerichte</w:t>
      </w:r>
      <w:r w:rsidR="00CA52FD" w:rsidRPr="00080C61">
        <w:rPr>
          <w:rFonts w:ascii="Arial" w:hAnsi="Arial"/>
          <w:noProof w:val="0"/>
        </w:rPr>
        <w:t xml:space="preserve"> zu wenden,</w:t>
      </w:r>
      <w:r w:rsidR="00FB0D9F" w:rsidRPr="00080C61">
        <w:rPr>
          <w:rFonts w:ascii="Arial" w:hAnsi="Arial"/>
          <w:noProof w:val="0"/>
        </w:rPr>
        <w:t xml:space="preserve"> </w:t>
      </w:r>
      <w:r w:rsidR="00CA52FD" w:rsidRPr="00080C61">
        <w:rPr>
          <w:rFonts w:ascii="Arial" w:hAnsi="Arial"/>
          <w:noProof w:val="0"/>
        </w:rPr>
        <w:t xml:space="preserve">den Beschluss gefasst, </w:t>
      </w:r>
      <w:r w:rsidR="00FB0D9F" w:rsidRPr="00080C61">
        <w:rPr>
          <w:rFonts w:ascii="Arial" w:hAnsi="Arial"/>
          <w:noProof w:val="0"/>
        </w:rPr>
        <w:t xml:space="preserve">den in der Schweiz in Haft befindlichen </w:t>
      </w:r>
      <w:r w:rsidR="00FB0D9F" w:rsidRPr="00080C61">
        <w:rPr>
          <w:rFonts w:ascii="Arial" w:hAnsi="Arial"/>
          <w:b/>
          <w:noProof w:val="0"/>
        </w:rPr>
        <w:t xml:space="preserve">Mehmet </w:t>
      </w:r>
      <w:proofErr w:type="spellStart"/>
      <w:r w:rsidR="00FB0D9F" w:rsidRPr="00080C61">
        <w:rPr>
          <w:rFonts w:ascii="Arial" w:hAnsi="Arial"/>
          <w:b/>
          <w:noProof w:val="0"/>
        </w:rPr>
        <w:t>Yesilcali</w:t>
      </w:r>
      <w:proofErr w:type="spellEnd"/>
      <w:r w:rsidR="00FB0D9F" w:rsidRPr="00080C61">
        <w:rPr>
          <w:rFonts w:ascii="Arial" w:hAnsi="Arial"/>
          <w:noProof w:val="0"/>
        </w:rPr>
        <w:t xml:space="preserve"> nach Deutschland auszuliefern. </w:t>
      </w:r>
    </w:p>
    <w:p w14:paraId="58EFE4FC" w14:textId="77777777" w:rsidR="008C7CC1" w:rsidRPr="00080C61" w:rsidRDefault="008C7CC1" w:rsidP="00080C61">
      <w:pPr>
        <w:jc w:val="both"/>
        <w:rPr>
          <w:rFonts w:ascii="Arial" w:hAnsi="Arial"/>
          <w:noProof w:val="0"/>
        </w:rPr>
      </w:pPr>
    </w:p>
    <w:p w14:paraId="0630877E" w14:textId="77777777" w:rsidR="00FB0D9F" w:rsidRPr="005A6906" w:rsidRDefault="00FB0D9F" w:rsidP="00080C61">
      <w:pPr>
        <w:jc w:val="both"/>
        <w:rPr>
          <w:rFonts w:ascii="Arial" w:hAnsi="Arial"/>
          <w:b/>
          <w:noProof w:val="0"/>
          <w:sz w:val="26"/>
          <w:szCs w:val="26"/>
        </w:rPr>
      </w:pPr>
      <w:r w:rsidRPr="005A6906">
        <w:rPr>
          <w:rFonts w:ascii="Arial" w:hAnsi="Arial"/>
          <w:b/>
          <w:noProof w:val="0"/>
          <w:sz w:val="26"/>
          <w:szCs w:val="26"/>
        </w:rPr>
        <w:t>Das Schweizer Justizministerium hat unter Verletzung des Rechts eine politische Entscheidung getroffen.</w:t>
      </w:r>
    </w:p>
    <w:p w14:paraId="0ECAAE7D" w14:textId="77777777" w:rsidR="00FB0D9F" w:rsidRPr="00080C61" w:rsidRDefault="00FB0D9F" w:rsidP="00080C61">
      <w:pPr>
        <w:jc w:val="both"/>
        <w:rPr>
          <w:rFonts w:ascii="Arial" w:hAnsi="Arial"/>
          <w:b/>
          <w:noProof w:val="0"/>
        </w:rPr>
      </w:pPr>
    </w:p>
    <w:p w14:paraId="1094B05A" w14:textId="77777777" w:rsidR="00FB0D9F" w:rsidRPr="00080C61" w:rsidRDefault="00FB0D9F" w:rsidP="00080C61">
      <w:pPr>
        <w:jc w:val="both"/>
        <w:rPr>
          <w:rFonts w:ascii="Arial" w:hAnsi="Arial"/>
          <w:noProof w:val="0"/>
        </w:rPr>
      </w:pPr>
      <w:r w:rsidRPr="00080C61">
        <w:rPr>
          <w:rFonts w:ascii="Arial" w:hAnsi="Arial"/>
          <w:noProof w:val="0"/>
          <w:color w:val="000000" w:themeColor="text1"/>
        </w:rPr>
        <w:t>Artikel 15 de</w:t>
      </w:r>
      <w:r w:rsidR="00CA52FD" w:rsidRPr="00080C61">
        <w:rPr>
          <w:rFonts w:ascii="Arial" w:hAnsi="Arial"/>
          <w:noProof w:val="0"/>
          <w:color w:val="000000" w:themeColor="text1"/>
        </w:rPr>
        <w:t>s</w:t>
      </w:r>
      <w:r w:rsidRPr="00080C61">
        <w:rPr>
          <w:rFonts w:ascii="Arial" w:hAnsi="Arial"/>
          <w:noProof w:val="0"/>
          <w:color w:val="000000" w:themeColor="text1"/>
        </w:rPr>
        <w:t xml:space="preserve"> Internationalen </w:t>
      </w:r>
      <w:r w:rsidRPr="00080C61">
        <w:rPr>
          <w:rFonts w:ascii="Arial" w:hAnsi="Arial"/>
          <w:noProof w:val="0"/>
        </w:rPr>
        <w:t xml:space="preserve">Paktes über bürgerliche und politische Rechte und Artikel 7 der Europäischen Menschenrechtskonvention </w:t>
      </w:r>
      <w:r w:rsidRPr="00080C61">
        <w:rPr>
          <w:rFonts w:ascii="Arial" w:hAnsi="Arial" w:cs="Arial"/>
          <w:noProof w:val="0"/>
          <w:shd w:val="clear" w:color="auto" w:fill="FFFFFF"/>
        </w:rPr>
        <w:t>verbieten die Bestrafung, wenn die</w:t>
      </w:r>
      <w:r w:rsidR="00F847C8" w:rsidRPr="00080C61">
        <w:rPr>
          <w:rStyle w:val="apple-converted-space"/>
          <w:rFonts w:ascii="Arial" w:hAnsi="Arial" w:cs="Arial"/>
          <w:noProof w:val="0"/>
          <w:shd w:val="clear" w:color="auto" w:fill="FFFFFF"/>
        </w:rPr>
        <w:t xml:space="preserve"> </w:t>
      </w:r>
      <w:hyperlink r:id="rId9" w:tooltip="Handlung" w:history="1">
        <w:r w:rsidRPr="00080C61">
          <w:rPr>
            <w:rStyle w:val="Link"/>
            <w:rFonts w:ascii="Arial" w:hAnsi="Arial" w:cs="Arial"/>
            <w:noProof w:val="0"/>
            <w:color w:val="auto"/>
            <w:u w:val="none"/>
            <w:shd w:val="clear" w:color="auto" w:fill="FFFFFF"/>
          </w:rPr>
          <w:t>Handlung</w:t>
        </w:r>
      </w:hyperlink>
      <w:r w:rsidR="00F847C8" w:rsidRPr="00080C61">
        <w:rPr>
          <w:rStyle w:val="apple-converted-space"/>
          <w:rFonts w:ascii="Arial" w:hAnsi="Arial" w:cs="Arial"/>
          <w:noProof w:val="0"/>
          <w:shd w:val="clear" w:color="auto" w:fill="FFFFFF"/>
        </w:rPr>
        <w:t xml:space="preserve"> </w:t>
      </w:r>
      <w:r w:rsidRPr="00080C61">
        <w:rPr>
          <w:rFonts w:ascii="Arial" w:hAnsi="Arial" w:cs="Arial"/>
          <w:noProof w:val="0"/>
          <w:shd w:val="clear" w:color="auto" w:fill="FFFFFF"/>
        </w:rPr>
        <w:t>oder</w:t>
      </w:r>
      <w:r w:rsidR="00F847C8" w:rsidRPr="00080C61">
        <w:rPr>
          <w:rStyle w:val="apple-converted-space"/>
          <w:rFonts w:ascii="Arial" w:hAnsi="Arial" w:cs="Arial"/>
          <w:noProof w:val="0"/>
          <w:shd w:val="clear" w:color="auto" w:fill="FFFFFF"/>
        </w:rPr>
        <w:t xml:space="preserve"> </w:t>
      </w:r>
      <w:hyperlink r:id="rId10" w:tooltip="Unterlassung" w:history="1">
        <w:r w:rsidRPr="00080C61">
          <w:rPr>
            <w:rStyle w:val="Link"/>
            <w:rFonts w:ascii="Arial" w:hAnsi="Arial" w:cs="Arial"/>
            <w:noProof w:val="0"/>
            <w:color w:val="auto"/>
            <w:u w:val="none"/>
            <w:shd w:val="clear" w:color="auto" w:fill="FFFFFF"/>
          </w:rPr>
          <w:t>Unterlassung</w:t>
        </w:r>
      </w:hyperlink>
      <w:r w:rsidR="00F847C8" w:rsidRPr="00080C61">
        <w:rPr>
          <w:rStyle w:val="apple-converted-space"/>
          <w:rFonts w:ascii="Arial" w:hAnsi="Arial" w:cs="Arial"/>
          <w:noProof w:val="0"/>
          <w:shd w:val="clear" w:color="auto" w:fill="FFFFFF"/>
        </w:rPr>
        <w:t xml:space="preserve"> </w:t>
      </w:r>
      <w:r w:rsidRPr="00080C61">
        <w:rPr>
          <w:rFonts w:ascii="Arial" w:hAnsi="Arial" w:cs="Arial"/>
          <w:noProof w:val="0"/>
          <w:shd w:val="clear" w:color="auto" w:fill="FFFFFF"/>
        </w:rPr>
        <w:t>zum Zeitpunkt ihrer Begehung nicht strafbar war.</w:t>
      </w:r>
      <w:r w:rsidR="00CC3EE2" w:rsidRPr="00080C61">
        <w:rPr>
          <w:rFonts w:ascii="Arial" w:hAnsi="Arial" w:cs="Arial"/>
          <w:noProof w:val="0"/>
          <w:shd w:val="clear" w:color="auto" w:fill="FFFFFF"/>
        </w:rPr>
        <w:t xml:space="preserve"> </w:t>
      </w:r>
      <w:proofErr w:type="spellStart"/>
      <w:r w:rsidR="00CC3EE2" w:rsidRPr="00080C61">
        <w:rPr>
          <w:rFonts w:ascii="Arial" w:hAnsi="Arial" w:cs="Arial"/>
          <w:noProof w:val="0"/>
          <w:shd w:val="clear" w:color="auto" w:fill="FFFFFF"/>
        </w:rPr>
        <w:t>Gemäss</w:t>
      </w:r>
      <w:proofErr w:type="spellEnd"/>
      <w:r w:rsidR="00CC3EE2" w:rsidRPr="00080C61">
        <w:rPr>
          <w:rFonts w:ascii="Arial" w:hAnsi="Arial" w:cs="Arial"/>
          <w:noProof w:val="0"/>
          <w:shd w:val="clear" w:color="auto" w:fill="FFFFFF"/>
        </w:rPr>
        <w:t xml:space="preserve"> universeller Rechtsprinzipien darf niemand für Handlungen, die </w:t>
      </w:r>
      <w:r w:rsidR="00CA52FD" w:rsidRPr="00080C61">
        <w:rPr>
          <w:rFonts w:ascii="Arial" w:hAnsi="Arial" w:cs="Arial"/>
          <w:noProof w:val="0"/>
          <w:shd w:val="clear" w:color="auto" w:fill="FFFFFF"/>
        </w:rPr>
        <w:t>in dem Land, in dem er sie ausübt,</w:t>
      </w:r>
      <w:r w:rsidR="00CC3EE2" w:rsidRPr="00080C61">
        <w:rPr>
          <w:rFonts w:ascii="Arial" w:hAnsi="Arial" w:cs="Arial"/>
          <w:noProof w:val="0"/>
          <w:shd w:val="clear" w:color="auto" w:fill="FFFFFF"/>
        </w:rPr>
        <w:t xml:space="preserve"> nicht strafbar sind, bestraft oder ausgeliefert werden, ausgenommen solche Handlungen, die nach allgemeinen Rechtsgrundsätzen als Straftat oder </w:t>
      </w:r>
      <w:r w:rsidR="00CA52FD" w:rsidRPr="00080C61">
        <w:rPr>
          <w:rFonts w:ascii="Arial" w:hAnsi="Arial" w:cs="Arial"/>
          <w:noProof w:val="0"/>
          <w:shd w:val="clear" w:color="auto" w:fill="FFFFFF"/>
        </w:rPr>
        <w:t xml:space="preserve">als </w:t>
      </w:r>
      <w:r w:rsidR="00CC3EE2" w:rsidRPr="00080C61">
        <w:rPr>
          <w:rFonts w:ascii="Arial" w:hAnsi="Arial" w:cs="Arial"/>
          <w:noProof w:val="0"/>
          <w:shd w:val="clear" w:color="auto" w:fill="FFFFFF"/>
        </w:rPr>
        <w:t>Verbrechen gegen die Menschlichkeit</w:t>
      </w:r>
      <w:r w:rsidR="00F847C8" w:rsidRPr="00080C61">
        <w:rPr>
          <w:rFonts w:ascii="Arial" w:hAnsi="Arial" w:cs="Arial"/>
          <w:noProof w:val="0"/>
          <w:shd w:val="clear" w:color="auto" w:fill="FFFFFF"/>
        </w:rPr>
        <w:t xml:space="preserve"> gelten</w:t>
      </w:r>
      <w:r w:rsidR="00CC3EE2" w:rsidRPr="00080C61">
        <w:rPr>
          <w:rFonts w:ascii="Arial" w:hAnsi="Arial" w:cs="Arial"/>
          <w:noProof w:val="0"/>
          <w:shd w:val="clear" w:color="auto" w:fill="FFFFFF"/>
        </w:rPr>
        <w:t xml:space="preserve">. </w:t>
      </w:r>
    </w:p>
    <w:p w14:paraId="333E365A" w14:textId="77777777" w:rsidR="00FB0D9F" w:rsidRPr="00080C61" w:rsidRDefault="00FB0D9F" w:rsidP="00080C61">
      <w:pPr>
        <w:jc w:val="both"/>
        <w:rPr>
          <w:rFonts w:ascii="Arial" w:hAnsi="Arial"/>
          <w:noProof w:val="0"/>
        </w:rPr>
      </w:pPr>
    </w:p>
    <w:p w14:paraId="74B7E35F" w14:textId="77777777" w:rsidR="00A8423C" w:rsidRPr="00080C61" w:rsidRDefault="00A8423C" w:rsidP="00080C61">
      <w:pPr>
        <w:jc w:val="both"/>
        <w:rPr>
          <w:rFonts w:ascii="Arial" w:hAnsi="Arial"/>
          <w:i/>
          <w:noProof w:val="0"/>
        </w:rPr>
      </w:pPr>
      <w:r w:rsidRPr="00080C61">
        <w:rPr>
          <w:rFonts w:ascii="Arial" w:hAnsi="Arial"/>
          <w:noProof w:val="0"/>
        </w:rPr>
        <w:t>In Bezug auf</w:t>
      </w:r>
      <w:r w:rsidRPr="00080C61">
        <w:rPr>
          <w:rFonts w:ascii="Arial" w:hAnsi="Arial"/>
          <w:b/>
          <w:noProof w:val="0"/>
        </w:rPr>
        <w:t xml:space="preserve"> Erol Gültekin</w:t>
      </w:r>
      <w:r w:rsidRPr="00080C61">
        <w:rPr>
          <w:rFonts w:ascii="Arial" w:hAnsi="Arial"/>
          <w:noProof w:val="0"/>
        </w:rPr>
        <w:t xml:space="preserve">, der in Griechenland in Haft sitzt und im gleichen Verfahren angeklagt ist, hat das Gericht am 25. </w:t>
      </w:r>
      <w:r w:rsidR="00CA52FD" w:rsidRPr="00080C61">
        <w:rPr>
          <w:rFonts w:ascii="Arial" w:hAnsi="Arial"/>
          <w:noProof w:val="0"/>
        </w:rPr>
        <w:t>Mai den einstimmigen Beschluss gefasst</w:t>
      </w:r>
      <w:r w:rsidRPr="00080C61">
        <w:rPr>
          <w:rFonts w:ascii="Arial" w:hAnsi="Arial"/>
          <w:noProof w:val="0"/>
        </w:rPr>
        <w:t xml:space="preserve">, dass </w:t>
      </w:r>
      <w:r w:rsidR="00CA52FD" w:rsidRPr="00080C61">
        <w:rPr>
          <w:rFonts w:ascii="Arial" w:hAnsi="Arial"/>
          <w:noProof w:val="0"/>
        </w:rPr>
        <w:t>„</w:t>
      </w:r>
      <w:r w:rsidRPr="00080C61">
        <w:rPr>
          <w:rFonts w:ascii="Arial" w:hAnsi="Arial"/>
          <w:i/>
          <w:noProof w:val="0"/>
        </w:rPr>
        <w:t xml:space="preserve">die </w:t>
      </w:r>
      <w:r w:rsidR="00842F67" w:rsidRPr="00080C61">
        <w:rPr>
          <w:rFonts w:ascii="Arial" w:hAnsi="Arial"/>
          <w:i/>
          <w:noProof w:val="0"/>
        </w:rPr>
        <w:t>ihm zur Las</w:t>
      </w:r>
      <w:r w:rsidR="00CA52FD" w:rsidRPr="00080C61">
        <w:rPr>
          <w:rFonts w:ascii="Arial" w:hAnsi="Arial"/>
          <w:i/>
          <w:noProof w:val="0"/>
        </w:rPr>
        <w:t>t gelegten Handlungen nicht als</w:t>
      </w:r>
      <w:r w:rsidR="00842F67" w:rsidRPr="00080C61">
        <w:rPr>
          <w:rFonts w:ascii="Arial" w:hAnsi="Arial"/>
          <w:i/>
          <w:noProof w:val="0"/>
        </w:rPr>
        <w:t xml:space="preserve"> </w:t>
      </w:r>
      <w:r w:rsidRPr="00080C61">
        <w:rPr>
          <w:rFonts w:ascii="Arial" w:hAnsi="Arial"/>
          <w:i/>
          <w:noProof w:val="0"/>
        </w:rPr>
        <w:t>Terrortaten</w:t>
      </w:r>
      <w:r w:rsidR="00842F67" w:rsidRPr="00080C61">
        <w:rPr>
          <w:rFonts w:ascii="Arial" w:hAnsi="Arial"/>
          <w:i/>
          <w:noProof w:val="0"/>
        </w:rPr>
        <w:t xml:space="preserve"> zu werten sind</w:t>
      </w:r>
      <w:r w:rsidRPr="00080C61">
        <w:rPr>
          <w:rFonts w:ascii="Arial" w:hAnsi="Arial"/>
          <w:i/>
          <w:noProof w:val="0"/>
        </w:rPr>
        <w:t>, die zu einer</w:t>
      </w:r>
      <w:r w:rsidR="002D3E37" w:rsidRPr="00080C61">
        <w:rPr>
          <w:rFonts w:ascii="Arial" w:hAnsi="Arial"/>
          <w:i/>
          <w:noProof w:val="0"/>
        </w:rPr>
        <w:t xml:space="preserve"> Auslieferung nach Deutschland </w:t>
      </w:r>
      <w:r w:rsidRPr="00080C61">
        <w:rPr>
          <w:rFonts w:ascii="Arial" w:hAnsi="Arial"/>
          <w:i/>
          <w:noProof w:val="0"/>
        </w:rPr>
        <w:t xml:space="preserve">und </w:t>
      </w:r>
      <w:r w:rsidR="00842F67" w:rsidRPr="00080C61">
        <w:rPr>
          <w:rFonts w:ascii="Arial" w:hAnsi="Arial"/>
          <w:i/>
          <w:noProof w:val="0"/>
        </w:rPr>
        <w:t xml:space="preserve">zu strafrechtlichen Sanktionen führen. </w:t>
      </w:r>
      <w:r w:rsidR="00CA52FD" w:rsidRPr="00080C61">
        <w:rPr>
          <w:rFonts w:ascii="Arial" w:hAnsi="Arial"/>
          <w:i/>
          <w:noProof w:val="0"/>
        </w:rPr>
        <w:t>Die</w:t>
      </w:r>
      <w:r w:rsidR="00842F67" w:rsidRPr="00080C61">
        <w:rPr>
          <w:rFonts w:ascii="Arial" w:hAnsi="Arial"/>
          <w:i/>
          <w:noProof w:val="0"/>
        </w:rPr>
        <w:t xml:space="preserve"> Handlungen, auf die der Untersuchungsrichter des </w:t>
      </w:r>
      <w:r w:rsidR="00CA52FD" w:rsidRPr="00080C61">
        <w:rPr>
          <w:rFonts w:ascii="Arial" w:hAnsi="Arial"/>
          <w:i/>
          <w:noProof w:val="0"/>
        </w:rPr>
        <w:t>o</w:t>
      </w:r>
      <w:r w:rsidR="00842F67" w:rsidRPr="00080C61">
        <w:rPr>
          <w:rFonts w:ascii="Arial" w:hAnsi="Arial"/>
          <w:i/>
          <w:noProof w:val="0"/>
        </w:rPr>
        <w:t xml:space="preserve">bersten deutschen Gerichts Bezug nimmt und die im Haftbefehl </w:t>
      </w:r>
      <w:r w:rsidR="00CA52FD" w:rsidRPr="00080C61">
        <w:rPr>
          <w:rFonts w:ascii="Arial" w:hAnsi="Arial"/>
          <w:i/>
          <w:noProof w:val="0"/>
        </w:rPr>
        <w:t>genannt</w:t>
      </w:r>
      <w:r w:rsidR="00842F67" w:rsidRPr="00080C61">
        <w:rPr>
          <w:rFonts w:ascii="Arial" w:hAnsi="Arial"/>
          <w:i/>
          <w:noProof w:val="0"/>
        </w:rPr>
        <w:t xml:space="preserve"> werden, </w:t>
      </w:r>
      <w:r w:rsidR="00CA52FD" w:rsidRPr="00080C61">
        <w:rPr>
          <w:rFonts w:ascii="Arial" w:hAnsi="Arial"/>
          <w:i/>
          <w:noProof w:val="0"/>
        </w:rPr>
        <w:t xml:space="preserve">wurden </w:t>
      </w:r>
      <w:r w:rsidR="00842F67" w:rsidRPr="00080C61">
        <w:rPr>
          <w:rFonts w:ascii="Arial" w:hAnsi="Arial"/>
          <w:i/>
          <w:noProof w:val="0"/>
        </w:rPr>
        <w:t>weder vo</w:t>
      </w:r>
      <w:r w:rsidR="00CA52FD" w:rsidRPr="00080C61">
        <w:rPr>
          <w:rFonts w:ascii="Arial" w:hAnsi="Arial"/>
          <w:i/>
          <w:noProof w:val="0"/>
        </w:rPr>
        <w:t>n</w:t>
      </w:r>
      <w:r w:rsidR="00842F67" w:rsidRPr="00080C61">
        <w:rPr>
          <w:rFonts w:ascii="Arial" w:hAnsi="Arial"/>
          <w:i/>
          <w:noProof w:val="0"/>
        </w:rPr>
        <w:t xml:space="preserve"> deutschen Richter</w:t>
      </w:r>
      <w:r w:rsidR="00CA52FD" w:rsidRPr="00080C61">
        <w:rPr>
          <w:rFonts w:ascii="Arial" w:hAnsi="Arial"/>
          <w:i/>
          <w:noProof w:val="0"/>
        </w:rPr>
        <w:t>n</w:t>
      </w:r>
      <w:r w:rsidR="00842F67" w:rsidRPr="00080C61">
        <w:rPr>
          <w:rFonts w:ascii="Arial" w:hAnsi="Arial"/>
          <w:i/>
          <w:noProof w:val="0"/>
        </w:rPr>
        <w:t xml:space="preserve"> noch</w:t>
      </w:r>
      <w:r w:rsidR="00CA52FD" w:rsidRPr="00080C61">
        <w:rPr>
          <w:rFonts w:ascii="Arial" w:hAnsi="Arial"/>
          <w:i/>
          <w:noProof w:val="0"/>
        </w:rPr>
        <w:t xml:space="preserve"> von</w:t>
      </w:r>
      <w:r w:rsidR="00842F67" w:rsidRPr="00080C61">
        <w:rPr>
          <w:rFonts w:ascii="Arial" w:hAnsi="Arial"/>
          <w:i/>
          <w:noProof w:val="0"/>
        </w:rPr>
        <w:t xml:space="preserve"> deutschen Behörden ermittelt, sondern </w:t>
      </w:r>
      <w:r w:rsidR="00CA52FD" w:rsidRPr="00080C61">
        <w:rPr>
          <w:rFonts w:ascii="Arial" w:hAnsi="Arial"/>
          <w:i/>
          <w:noProof w:val="0"/>
        </w:rPr>
        <w:t xml:space="preserve">es handelt sich </w:t>
      </w:r>
      <w:r w:rsidR="00842F67" w:rsidRPr="00080C61">
        <w:rPr>
          <w:rFonts w:ascii="Arial" w:hAnsi="Arial"/>
          <w:i/>
          <w:noProof w:val="0"/>
        </w:rPr>
        <w:t xml:space="preserve">dabei um Informationen des türkischen Staates. </w:t>
      </w:r>
    </w:p>
    <w:p w14:paraId="4D9ABB0E" w14:textId="77777777" w:rsidR="00A8423C" w:rsidRPr="00080C61" w:rsidRDefault="00A8423C" w:rsidP="00080C61">
      <w:pPr>
        <w:jc w:val="both"/>
        <w:rPr>
          <w:rFonts w:ascii="Arial" w:hAnsi="Arial"/>
          <w:i/>
          <w:noProof w:val="0"/>
        </w:rPr>
      </w:pPr>
    </w:p>
    <w:p w14:paraId="5A7A2BB6" w14:textId="418F7C4B" w:rsidR="00983C9F" w:rsidRDefault="00983C9F" w:rsidP="00080C61">
      <w:pPr>
        <w:jc w:val="both"/>
        <w:rPr>
          <w:rFonts w:ascii="Arial" w:hAnsi="Arial"/>
          <w:noProof w:val="0"/>
        </w:rPr>
      </w:pPr>
      <w:r w:rsidRPr="00080C61">
        <w:rPr>
          <w:rFonts w:ascii="Arial" w:hAnsi="Arial"/>
          <w:i/>
          <w:noProof w:val="0"/>
        </w:rPr>
        <w:lastRenderedPageBreak/>
        <w:t xml:space="preserve">Unter Berücksichtigung des Vorstehenden und der Unklarheit bei der praktischen Umsetzung des Haftbefehls, </w:t>
      </w:r>
      <w:r w:rsidR="005362CE" w:rsidRPr="00080C61">
        <w:rPr>
          <w:rFonts w:ascii="Arial" w:hAnsi="Arial"/>
          <w:i/>
          <w:noProof w:val="0"/>
        </w:rPr>
        <w:t xml:space="preserve">besteht die Gefahr eines Verfahrens auf der Grundlage anderer Vergehen als derer, die im Haftbefehl genannt sind. </w:t>
      </w:r>
      <w:proofErr w:type="spellStart"/>
      <w:r w:rsidR="005362CE" w:rsidRPr="00080C61">
        <w:rPr>
          <w:rFonts w:ascii="Arial" w:hAnsi="Arial"/>
          <w:i/>
          <w:noProof w:val="0"/>
        </w:rPr>
        <w:t>Ausserdem</w:t>
      </w:r>
      <w:proofErr w:type="spellEnd"/>
      <w:r w:rsidR="005362CE" w:rsidRPr="00080C61">
        <w:rPr>
          <w:rFonts w:ascii="Arial" w:hAnsi="Arial"/>
          <w:i/>
          <w:noProof w:val="0"/>
        </w:rPr>
        <w:t xml:space="preserve"> ist der Haftbefehl selbst unverständlich. Denn bei den angeblich strafbaren Handlungen handelt es sich um Handlungen im Zusammenhang mit der Unterstützung von Bewegungen in der Türkei und um Solidaritätskundgebungen für deren Mitglieder. Auf dieser Grundlage kann der Haftbefehlt nicht vollstreckt werden.</w:t>
      </w:r>
      <w:r w:rsidR="00CA52FD" w:rsidRPr="00080C61">
        <w:rPr>
          <w:rFonts w:ascii="Arial" w:hAnsi="Arial"/>
          <w:i/>
          <w:noProof w:val="0"/>
        </w:rPr>
        <w:t>“</w:t>
      </w:r>
      <w:r w:rsidR="005362CE" w:rsidRPr="00080C61">
        <w:rPr>
          <w:rFonts w:ascii="Arial" w:hAnsi="Arial"/>
          <w:i/>
          <w:noProof w:val="0"/>
        </w:rPr>
        <w:t xml:space="preserve"> </w:t>
      </w:r>
      <w:r w:rsidR="005362CE" w:rsidRPr="00080C61">
        <w:rPr>
          <w:rFonts w:ascii="Arial" w:hAnsi="Arial"/>
          <w:noProof w:val="0"/>
        </w:rPr>
        <w:t>Mit dieser Begründung hat das Gericht auf Freilassung entschieden.</w:t>
      </w:r>
    </w:p>
    <w:p w14:paraId="38A03166" w14:textId="77777777" w:rsidR="005A6906" w:rsidRPr="005A6906" w:rsidRDefault="005A6906" w:rsidP="00080C61">
      <w:pPr>
        <w:jc w:val="both"/>
        <w:rPr>
          <w:rFonts w:ascii="Arial" w:hAnsi="Arial"/>
          <w:i/>
          <w:noProof w:val="0"/>
        </w:rPr>
      </w:pPr>
    </w:p>
    <w:p w14:paraId="1BEBD3F0" w14:textId="77777777" w:rsidR="00842F67" w:rsidRPr="00080C61" w:rsidRDefault="005362CE" w:rsidP="00080C61">
      <w:pPr>
        <w:jc w:val="both"/>
        <w:rPr>
          <w:rFonts w:ascii="Arial" w:hAnsi="Arial"/>
          <w:noProof w:val="0"/>
        </w:rPr>
      </w:pPr>
      <w:r w:rsidRPr="00080C61">
        <w:rPr>
          <w:rFonts w:ascii="Arial" w:hAnsi="Arial"/>
          <w:noProof w:val="0"/>
        </w:rPr>
        <w:t xml:space="preserve">In der Schweiz, die von sich behauptet ein unabhängiges Land zu sein, hat das Justizministerium mit dem Beschluss, Mehmet </w:t>
      </w:r>
      <w:proofErr w:type="spellStart"/>
      <w:r w:rsidRPr="00080C61">
        <w:rPr>
          <w:rFonts w:ascii="Arial" w:hAnsi="Arial"/>
          <w:noProof w:val="0"/>
        </w:rPr>
        <w:t>Yesilcali</w:t>
      </w:r>
      <w:proofErr w:type="spellEnd"/>
      <w:r w:rsidRPr="00080C61">
        <w:rPr>
          <w:rFonts w:ascii="Arial" w:hAnsi="Arial"/>
          <w:noProof w:val="0"/>
        </w:rPr>
        <w:t xml:space="preserve"> ohne jede rechtliche Grundlage nach Deutschland auszuliefern, eine Straftat begangen. </w:t>
      </w:r>
    </w:p>
    <w:p w14:paraId="412E6A77" w14:textId="77777777" w:rsidR="00FB0D9F" w:rsidRPr="00080C61" w:rsidRDefault="00FB0D9F" w:rsidP="00080C61">
      <w:pPr>
        <w:jc w:val="both"/>
        <w:rPr>
          <w:rFonts w:ascii="Arial" w:hAnsi="Arial"/>
          <w:b/>
          <w:noProof w:val="0"/>
        </w:rPr>
      </w:pPr>
    </w:p>
    <w:p w14:paraId="2CB72DA0" w14:textId="77777777" w:rsidR="00676C44" w:rsidRPr="005A6906" w:rsidRDefault="005362CE" w:rsidP="00080C61">
      <w:pPr>
        <w:jc w:val="both"/>
        <w:rPr>
          <w:rFonts w:ascii="Arial" w:hAnsi="Arial"/>
          <w:b/>
          <w:noProof w:val="0"/>
          <w:sz w:val="26"/>
          <w:szCs w:val="26"/>
        </w:rPr>
      </w:pPr>
      <w:r w:rsidRPr="005A6906">
        <w:rPr>
          <w:rFonts w:ascii="Arial" w:hAnsi="Arial"/>
          <w:b/>
          <w:noProof w:val="0"/>
          <w:sz w:val="26"/>
          <w:szCs w:val="26"/>
        </w:rPr>
        <w:t xml:space="preserve">Der § </w:t>
      </w:r>
      <w:r w:rsidR="00676C44" w:rsidRPr="005A6906">
        <w:rPr>
          <w:rFonts w:ascii="Arial" w:hAnsi="Arial"/>
          <w:b/>
          <w:noProof w:val="0"/>
          <w:sz w:val="26"/>
          <w:szCs w:val="26"/>
        </w:rPr>
        <w:t>129 a</w:t>
      </w:r>
      <w:r w:rsidRPr="005A6906">
        <w:rPr>
          <w:rFonts w:ascii="Arial" w:hAnsi="Arial"/>
          <w:b/>
          <w:noProof w:val="0"/>
          <w:sz w:val="26"/>
          <w:szCs w:val="26"/>
        </w:rPr>
        <w:t>, b muss abgeschafft werden</w:t>
      </w:r>
      <w:r w:rsidR="00676C44" w:rsidRPr="005A6906">
        <w:rPr>
          <w:rFonts w:ascii="Arial" w:hAnsi="Arial"/>
          <w:b/>
          <w:noProof w:val="0"/>
          <w:sz w:val="26"/>
          <w:szCs w:val="26"/>
        </w:rPr>
        <w:t>!</w:t>
      </w:r>
    </w:p>
    <w:p w14:paraId="0A5E172A" w14:textId="77777777" w:rsidR="00676C44" w:rsidRPr="00080C61" w:rsidRDefault="00676C44" w:rsidP="00080C61">
      <w:pPr>
        <w:jc w:val="both"/>
        <w:rPr>
          <w:rFonts w:ascii="Arial" w:hAnsi="Arial"/>
          <w:noProof w:val="0"/>
        </w:rPr>
      </w:pPr>
    </w:p>
    <w:p w14:paraId="56AB5709" w14:textId="77777777" w:rsidR="005362CE" w:rsidRPr="00080C61" w:rsidRDefault="005362CE" w:rsidP="00080C61">
      <w:pPr>
        <w:jc w:val="both"/>
        <w:rPr>
          <w:rFonts w:ascii="Arial" w:hAnsi="Arial"/>
          <w:noProof w:val="0"/>
        </w:rPr>
      </w:pPr>
      <w:r w:rsidRPr="00080C61">
        <w:rPr>
          <w:rFonts w:ascii="Arial" w:hAnsi="Arial"/>
          <w:noProof w:val="0"/>
        </w:rPr>
        <w:t>Deutschland hat mit der Verabschiedung des § 129 a, b im Jahr 2001 eine ungesetzliche Praxis eingeführt, denn mit dem § 129 a, b werden revolutionäre Demokraten gleichsam kriminalisiert und ohne gesetzliche Grundlage als Mitglied</w:t>
      </w:r>
      <w:r w:rsidR="00CA52FD" w:rsidRPr="00080C61">
        <w:rPr>
          <w:rFonts w:ascii="Arial" w:hAnsi="Arial"/>
          <w:noProof w:val="0"/>
        </w:rPr>
        <w:t>er</w:t>
      </w:r>
      <w:r w:rsidRPr="00080C61">
        <w:rPr>
          <w:rFonts w:ascii="Arial" w:hAnsi="Arial"/>
          <w:noProof w:val="0"/>
        </w:rPr>
        <w:t xml:space="preserve"> einer Terrorvereinigung verurteilt. In § 129 Abs. b wird die Mitgliedschaft in einer ausländischen Terrorvereinigung unter Strafe gestellt. Darüber aber, welche Organisation als Terrorvereinigung anzusehen ist, entscheidet allein das Justizministerium der Bundesrepublik Deutschland, d.h. der deutsche Staat. </w:t>
      </w:r>
      <w:r w:rsidR="00FC0178" w:rsidRPr="00080C61">
        <w:rPr>
          <w:rFonts w:ascii="Arial" w:hAnsi="Arial"/>
          <w:noProof w:val="0"/>
        </w:rPr>
        <w:t>Das Ministerium muss bei seinen Beschlüssen weder Beweise vorlegen noch Begründungen abgeben, und Widerspruch gegen seine Beschlüsse ist nicht möglich.</w:t>
      </w:r>
    </w:p>
    <w:p w14:paraId="0636D7A1" w14:textId="77777777" w:rsidR="005362CE" w:rsidRPr="00080C61" w:rsidRDefault="005362CE" w:rsidP="00080C61">
      <w:pPr>
        <w:jc w:val="both"/>
        <w:rPr>
          <w:rFonts w:ascii="Arial" w:hAnsi="Arial"/>
          <w:noProof w:val="0"/>
        </w:rPr>
      </w:pPr>
    </w:p>
    <w:p w14:paraId="00FAE96C" w14:textId="77777777" w:rsidR="00676C44" w:rsidRPr="00080C61" w:rsidRDefault="00FC0178" w:rsidP="00080C61">
      <w:pPr>
        <w:jc w:val="both"/>
        <w:rPr>
          <w:rFonts w:ascii="Arial" w:hAnsi="Arial"/>
          <w:noProof w:val="0"/>
        </w:rPr>
      </w:pPr>
      <w:r w:rsidRPr="00080C61">
        <w:rPr>
          <w:rFonts w:ascii="Arial" w:hAnsi="Arial"/>
          <w:noProof w:val="0"/>
        </w:rPr>
        <w:t xml:space="preserve">Die Konsequenzen eines derart antidemokratischen Gesetzes werden die Brüderschaft der Völker weiter schädigen und der Diskriminierung </w:t>
      </w:r>
      <w:r w:rsidR="00C277CF" w:rsidRPr="00080C61">
        <w:rPr>
          <w:rFonts w:ascii="Arial" w:hAnsi="Arial"/>
          <w:noProof w:val="0"/>
        </w:rPr>
        <w:t>von</w:t>
      </w:r>
      <w:r w:rsidRPr="00080C61">
        <w:rPr>
          <w:rFonts w:ascii="Arial" w:hAnsi="Arial"/>
          <w:noProof w:val="0"/>
        </w:rPr>
        <w:t xml:space="preserve"> Einheimischen und Einwander</w:t>
      </w:r>
      <w:r w:rsidR="003A0EB3" w:rsidRPr="00080C61">
        <w:rPr>
          <w:rFonts w:ascii="Arial" w:hAnsi="Arial"/>
          <w:noProof w:val="0"/>
        </w:rPr>
        <w:t>er</w:t>
      </w:r>
      <w:r w:rsidRPr="00080C61">
        <w:rPr>
          <w:rFonts w:ascii="Arial" w:hAnsi="Arial"/>
          <w:noProof w:val="0"/>
        </w:rPr>
        <w:t>n weiter Vorschub leisten.</w:t>
      </w:r>
    </w:p>
    <w:p w14:paraId="34D994F9" w14:textId="77777777" w:rsidR="00FC0178" w:rsidRPr="00080C61" w:rsidRDefault="00FC0178" w:rsidP="00080C61">
      <w:pPr>
        <w:jc w:val="both"/>
        <w:rPr>
          <w:rFonts w:ascii="Arial" w:hAnsi="Arial"/>
          <w:noProof w:val="0"/>
        </w:rPr>
      </w:pPr>
    </w:p>
    <w:p w14:paraId="1A34EBE7" w14:textId="77777777" w:rsidR="00FC0178" w:rsidRPr="00080C61" w:rsidRDefault="007D52A8" w:rsidP="00080C61">
      <w:pPr>
        <w:jc w:val="both"/>
        <w:rPr>
          <w:rFonts w:ascii="Arial" w:hAnsi="Arial"/>
          <w:noProof w:val="0"/>
        </w:rPr>
      </w:pPr>
      <w:r w:rsidRPr="00080C61">
        <w:rPr>
          <w:rFonts w:ascii="Arial" w:hAnsi="Arial"/>
          <w:noProof w:val="0"/>
        </w:rPr>
        <w:t xml:space="preserve">Das Schweizer Justizministerium hat seine sozialdemokratische Identität vergessen und ist zu einem Beteiligten in diesem schmutzigen Spiel geworden. Die SP, der viele Einwanderer angehören und von denen sie Stimmen erhält, muss sich dem § 129 a, b, der </w:t>
      </w:r>
      <w:proofErr w:type="spellStart"/>
      <w:r w:rsidRPr="00080C61">
        <w:rPr>
          <w:rFonts w:ascii="Arial" w:hAnsi="Arial"/>
          <w:noProof w:val="0"/>
        </w:rPr>
        <w:t>der</w:t>
      </w:r>
      <w:proofErr w:type="spellEnd"/>
      <w:r w:rsidRPr="00080C61">
        <w:rPr>
          <w:rFonts w:ascii="Arial" w:hAnsi="Arial"/>
          <w:noProof w:val="0"/>
        </w:rPr>
        <w:t xml:space="preserve"> Demokratie sehr ernste Schäden zufügen kann, widersetzen, sich für das universelle Recht einsetzen und die Auslieferung von Mehmet </w:t>
      </w:r>
      <w:proofErr w:type="spellStart"/>
      <w:r w:rsidRPr="00080C61">
        <w:rPr>
          <w:rFonts w:ascii="Arial" w:hAnsi="Arial"/>
          <w:noProof w:val="0"/>
        </w:rPr>
        <w:t>Yesilcali</w:t>
      </w:r>
      <w:proofErr w:type="spellEnd"/>
      <w:r w:rsidRPr="00080C61">
        <w:rPr>
          <w:rFonts w:ascii="Arial" w:hAnsi="Arial"/>
          <w:noProof w:val="0"/>
        </w:rPr>
        <w:t xml:space="preserve"> an Deutschland aufheben und ihn freilassen</w:t>
      </w:r>
    </w:p>
    <w:p w14:paraId="7B4ABAEB" w14:textId="77777777" w:rsidR="00FC0178" w:rsidRPr="00080C61" w:rsidRDefault="00FC0178" w:rsidP="00080C61">
      <w:pPr>
        <w:jc w:val="both"/>
        <w:rPr>
          <w:rFonts w:ascii="Arial" w:hAnsi="Arial"/>
          <w:noProof w:val="0"/>
        </w:rPr>
      </w:pPr>
    </w:p>
    <w:p w14:paraId="7CF1C231" w14:textId="77777777" w:rsidR="00676C44" w:rsidRPr="00C838EF" w:rsidRDefault="007D52A8" w:rsidP="00080C61">
      <w:pPr>
        <w:jc w:val="both"/>
        <w:rPr>
          <w:rFonts w:ascii="Arial" w:hAnsi="Arial"/>
          <w:b/>
          <w:noProof w:val="0"/>
          <w:sz w:val="26"/>
          <w:szCs w:val="26"/>
        </w:rPr>
      </w:pPr>
      <w:r w:rsidRPr="00C838EF">
        <w:rPr>
          <w:rFonts w:ascii="Arial" w:hAnsi="Arial"/>
          <w:b/>
          <w:noProof w:val="0"/>
          <w:sz w:val="26"/>
          <w:szCs w:val="26"/>
        </w:rPr>
        <w:t>Wir rufen die Presse und die Öffentlichkeit zu mehr Sensibilität auf!</w:t>
      </w:r>
    </w:p>
    <w:p w14:paraId="61B3BAEC" w14:textId="77777777" w:rsidR="00676C44" w:rsidRPr="00080C61" w:rsidRDefault="00676C44" w:rsidP="00080C61">
      <w:pPr>
        <w:jc w:val="both"/>
        <w:rPr>
          <w:rFonts w:ascii="Arial" w:hAnsi="Arial"/>
          <w:b/>
          <w:noProof w:val="0"/>
        </w:rPr>
      </w:pPr>
    </w:p>
    <w:p w14:paraId="4716E9F1" w14:textId="77777777" w:rsidR="00AC769B" w:rsidRPr="00080C61" w:rsidRDefault="00AC769B" w:rsidP="00080C61">
      <w:pPr>
        <w:jc w:val="both"/>
        <w:rPr>
          <w:rFonts w:ascii="Arial" w:hAnsi="Arial"/>
          <w:noProof w:val="0"/>
        </w:rPr>
      </w:pPr>
      <w:r w:rsidRPr="00080C61">
        <w:rPr>
          <w:rFonts w:ascii="Arial" w:hAnsi="Arial"/>
          <w:noProof w:val="0"/>
        </w:rPr>
        <w:t xml:space="preserve">Mehmet </w:t>
      </w:r>
      <w:proofErr w:type="spellStart"/>
      <w:r w:rsidRPr="00080C61">
        <w:rPr>
          <w:rFonts w:ascii="Arial" w:hAnsi="Arial"/>
          <w:noProof w:val="0"/>
        </w:rPr>
        <w:t>Yesilcali</w:t>
      </w:r>
      <w:proofErr w:type="spellEnd"/>
      <w:r w:rsidRPr="00080C61">
        <w:rPr>
          <w:rFonts w:ascii="Arial" w:hAnsi="Arial"/>
          <w:noProof w:val="0"/>
        </w:rPr>
        <w:t xml:space="preserve"> befindet sich seit dem 15. April in ungesetzlicher Weise in der Haftanstalt Fribourg. Wir rufen die Presse, die sich dem Grundsatz der freien Information verpflichtet fühlt, zur Information der Öffentlichkeit auf und die sensibilisierte Schweizer Bevölkerung zur Bekundung ihrer Haltung gegen diese antidemokratische Praxis und zum Protest gegen diesen illegalen politischen Beschluss. </w:t>
      </w:r>
    </w:p>
    <w:p w14:paraId="5519A634" w14:textId="77777777" w:rsidR="00676C44" w:rsidRPr="00080C61" w:rsidRDefault="00676C44" w:rsidP="00080C61">
      <w:pPr>
        <w:jc w:val="both"/>
        <w:rPr>
          <w:rFonts w:ascii="Arial" w:hAnsi="Arial"/>
          <w:noProof w:val="0"/>
        </w:rPr>
      </w:pPr>
    </w:p>
    <w:p w14:paraId="540A090F" w14:textId="77777777" w:rsidR="00676C44" w:rsidRPr="00C838EF" w:rsidRDefault="00AC769B" w:rsidP="00080C61">
      <w:pPr>
        <w:jc w:val="both"/>
        <w:rPr>
          <w:rFonts w:ascii="Arial" w:hAnsi="Arial"/>
          <w:b/>
          <w:noProof w:val="0"/>
          <w:sz w:val="26"/>
          <w:szCs w:val="26"/>
        </w:rPr>
      </w:pPr>
      <w:r w:rsidRPr="00C838EF">
        <w:rPr>
          <w:rFonts w:ascii="Arial" w:hAnsi="Arial"/>
          <w:b/>
          <w:noProof w:val="0"/>
          <w:sz w:val="26"/>
          <w:szCs w:val="26"/>
        </w:rPr>
        <w:t xml:space="preserve">Der revolutionär-demokratische Kampf ist überall legal! </w:t>
      </w:r>
    </w:p>
    <w:p w14:paraId="200A5B12" w14:textId="77777777" w:rsidR="00676C44" w:rsidRPr="00CA52FD" w:rsidRDefault="00676C44" w:rsidP="00676C44">
      <w:pPr>
        <w:rPr>
          <w:noProof w:val="0"/>
        </w:rPr>
      </w:pPr>
    </w:p>
    <w:p w14:paraId="4854741E" w14:textId="77777777" w:rsidR="008B07B2" w:rsidRPr="00CA52FD" w:rsidRDefault="008B07B2">
      <w:pPr>
        <w:rPr>
          <w:noProof w:val="0"/>
        </w:rPr>
      </w:pPr>
    </w:p>
    <w:sectPr w:rsidR="008B07B2" w:rsidRPr="00CA52FD" w:rsidSect="00D476CA">
      <w:footerReference w:type="even" r:id="rId11"/>
      <w:footerReference w:type="default" r:id="rId12"/>
      <w:pgSz w:w="11900" w:h="16840"/>
      <w:pgMar w:top="907" w:right="1134" w:bottom="794" w:left="1134" w:header="708" w:footer="708" w:gutter="0"/>
      <w:pgNumType w:fmt="upperRoman"/>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EBF2E" w14:textId="77777777" w:rsidR="000F46F7" w:rsidRDefault="000F46F7" w:rsidP="002B49B1">
      <w:r>
        <w:separator/>
      </w:r>
    </w:p>
  </w:endnote>
  <w:endnote w:type="continuationSeparator" w:id="0">
    <w:p w14:paraId="7C55D5DC" w14:textId="77777777" w:rsidR="000F46F7" w:rsidRDefault="000F46F7" w:rsidP="002B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Latha">
    <w:panose1 w:val="00000000000000000000"/>
    <w:charset w:val="01"/>
    <w:family w:val="roman"/>
    <w:notTrueType/>
    <w:pitch w:val="variable"/>
    <w:sig w:usb0="00040000" w:usb1="00000000" w:usb2="00000000" w:usb3="00000000" w:csb0="0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02A4A" w14:textId="77777777" w:rsidR="00D476CA" w:rsidRDefault="00D476CA" w:rsidP="00B93F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5DCAF7" w14:textId="77777777" w:rsidR="00D476CA" w:rsidRDefault="00D476CA" w:rsidP="00D476C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8FDD" w14:textId="77777777" w:rsidR="00D476CA" w:rsidRDefault="00D476CA" w:rsidP="00B93FB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I</w:t>
    </w:r>
    <w:r>
      <w:rPr>
        <w:rStyle w:val="Seitenzahl"/>
      </w:rPr>
      <w:fldChar w:fldCharType="end"/>
    </w:r>
  </w:p>
  <w:p w14:paraId="0005C790" w14:textId="77777777" w:rsidR="00D476CA" w:rsidRDefault="00D476CA" w:rsidP="00D476CA">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6E252" w14:textId="77777777" w:rsidR="000F46F7" w:rsidRDefault="000F46F7" w:rsidP="002B49B1">
      <w:r>
        <w:separator/>
      </w:r>
    </w:p>
  </w:footnote>
  <w:footnote w:type="continuationSeparator" w:id="0">
    <w:p w14:paraId="6FAE80B8" w14:textId="77777777" w:rsidR="000F46F7" w:rsidRDefault="000F46F7" w:rsidP="002B4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44"/>
    <w:rsid w:val="00080C61"/>
    <w:rsid w:val="000E1D32"/>
    <w:rsid w:val="000F46F7"/>
    <w:rsid w:val="001531B3"/>
    <w:rsid w:val="00182106"/>
    <w:rsid w:val="001B1400"/>
    <w:rsid w:val="002453E0"/>
    <w:rsid w:val="00245E09"/>
    <w:rsid w:val="002538E9"/>
    <w:rsid w:val="002936F0"/>
    <w:rsid w:val="002B49B1"/>
    <w:rsid w:val="002D3E37"/>
    <w:rsid w:val="00327441"/>
    <w:rsid w:val="00335ECB"/>
    <w:rsid w:val="00337BF4"/>
    <w:rsid w:val="003A0EB3"/>
    <w:rsid w:val="003B60C7"/>
    <w:rsid w:val="003E216B"/>
    <w:rsid w:val="003F3651"/>
    <w:rsid w:val="004131C6"/>
    <w:rsid w:val="00451EEF"/>
    <w:rsid w:val="004771E2"/>
    <w:rsid w:val="00493C7B"/>
    <w:rsid w:val="004D5840"/>
    <w:rsid w:val="005362CE"/>
    <w:rsid w:val="0058444A"/>
    <w:rsid w:val="0059696F"/>
    <w:rsid w:val="005A6906"/>
    <w:rsid w:val="005C6391"/>
    <w:rsid w:val="00676C44"/>
    <w:rsid w:val="006C7067"/>
    <w:rsid w:val="0071479E"/>
    <w:rsid w:val="00733B42"/>
    <w:rsid w:val="007701E4"/>
    <w:rsid w:val="007B2189"/>
    <w:rsid w:val="007D52A8"/>
    <w:rsid w:val="00842F67"/>
    <w:rsid w:val="008B07B2"/>
    <w:rsid w:val="008C7CC1"/>
    <w:rsid w:val="0090403F"/>
    <w:rsid w:val="0090502B"/>
    <w:rsid w:val="00983C9F"/>
    <w:rsid w:val="009C0999"/>
    <w:rsid w:val="00A662F0"/>
    <w:rsid w:val="00A8423C"/>
    <w:rsid w:val="00AB376F"/>
    <w:rsid w:val="00AC769B"/>
    <w:rsid w:val="00B73EF0"/>
    <w:rsid w:val="00C14330"/>
    <w:rsid w:val="00C277CF"/>
    <w:rsid w:val="00C71325"/>
    <w:rsid w:val="00C838EF"/>
    <w:rsid w:val="00CA52FD"/>
    <w:rsid w:val="00CC3EE2"/>
    <w:rsid w:val="00D12BAB"/>
    <w:rsid w:val="00D476CA"/>
    <w:rsid w:val="00DA4459"/>
    <w:rsid w:val="00DC6A92"/>
    <w:rsid w:val="00DE70CE"/>
    <w:rsid w:val="00E047D9"/>
    <w:rsid w:val="00E25EBA"/>
    <w:rsid w:val="00E3074B"/>
    <w:rsid w:val="00E82D86"/>
    <w:rsid w:val="00EA64E4"/>
    <w:rsid w:val="00F547DB"/>
    <w:rsid w:val="00F618FD"/>
    <w:rsid w:val="00F64701"/>
    <w:rsid w:val="00F847C8"/>
    <w:rsid w:val="00FB0D9F"/>
    <w:rsid w:val="00FC0178"/>
    <w:rsid w:val="00FD02B9"/>
  </w:rsids>
  <m:mathPr>
    <m:mathFont m:val="Cambria Math"/>
    <m:brkBin m:val="before"/>
    <m:brkBinSub m:val="--"/>
    <m:smallFrac m:val="0"/>
    <m:dispDef/>
    <m:lMargin m:val="0"/>
    <m:rMargin m:val="0"/>
    <m:defJc m:val="centerGroup"/>
    <m:wrapIndent m:val="1440"/>
    <m:intLim m:val="subSup"/>
    <m:naryLim m:val="undOvr"/>
  </m:mathPr>
  <w:themeFontLang w:val="de-DE"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B9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6C44"/>
    <w:rPr>
      <w:rFonts w:eastAsiaTheme="minorEastAsia"/>
      <w:noProo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2B49B1"/>
    <w:rPr>
      <w:sz w:val="20"/>
      <w:szCs w:val="20"/>
    </w:rPr>
  </w:style>
  <w:style w:type="character" w:customStyle="1" w:styleId="FunotentextZeichen">
    <w:name w:val="Fußnotentext Zeichen"/>
    <w:basedOn w:val="Absatzstandardschriftart"/>
    <w:link w:val="Funotentext"/>
    <w:uiPriority w:val="99"/>
    <w:semiHidden/>
    <w:rsid w:val="002B49B1"/>
    <w:rPr>
      <w:rFonts w:eastAsiaTheme="minorEastAsia"/>
      <w:noProof/>
      <w:sz w:val="20"/>
      <w:szCs w:val="20"/>
      <w:lang w:eastAsia="de-DE"/>
    </w:rPr>
  </w:style>
  <w:style w:type="character" w:styleId="Funotenzeichen">
    <w:name w:val="footnote reference"/>
    <w:basedOn w:val="Absatzstandardschriftart"/>
    <w:uiPriority w:val="99"/>
    <w:semiHidden/>
    <w:unhideWhenUsed/>
    <w:rsid w:val="002B49B1"/>
    <w:rPr>
      <w:vertAlign w:val="superscript"/>
    </w:rPr>
  </w:style>
  <w:style w:type="character" w:customStyle="1" w:styleId="apple-converted-space">
    <w:name w:val="apple-converted-space"/>
    <w:basedOn w:val="Absatzstandardschriftart"/>
    <w:rsid w:val="00FB0D9F"/>
  </w:style>
  <w:style w:type="character" w:styleId="Link">
    <w:name w:val="Hyperlink"/>
    <w:basedOn w:val="Absatzstandardschriftart"/>
    <w:uiPriority w:val="99"/>
    <w:semiHidden/>
    <w:unhideWhenUsed/>
    <w:rsid w:val="00FB0D9F"/>
    <w:rPr>
      <w:color w:val="0000FF"/>
      <w:u w:val="single"/>
    </w:rPr>
  </w:style>
  <w:style w:type="paragraph" w:styleId="Fuzeile">
    <w:name w:val="footer"/>
    <w:basedOn w:val="Standard"/>
    <w:link w:val="FuzeileZeichen"/>
    <w:uiPriority w:val="99"/>
    <w:unhideWhenUsed/>
    <w:rsid w:val="00D476CA"/>
    <w:pPr>
      <w:tabs>
        <w:tab w:val="center" w:pos="4703"/>
        <w:tab w:val="right" w:pos="9406"/>
      </w:tabs>
    </w:pPr>
  </w:style>
  <w:style w:type="character" w:customStyle="1" w:styleId="FuzeileZeichen">
    <w:name w:val="Fußzeile Zeichen"/>
    <w:basedOn w:val="Absatzstandardschriftart"/>
    <w:link w:val="Fuzeile"/>
    <w:uiPriority w:val="99"/>
    <w:rsid w:val="00D476CA"/>
    <w:rPr>
      <w:rFonts w:eastAsiaTheme="minorEastAsia"/>
      <w:noProof/>
      <w:sz w:val="24"/>
      <w:szCs w:val="24"/>
      <w:lang w:eastAsia="de-DE"/>
    </w:rPr>
  </w:style>
  <w:style w:type="character" w:styleId="Seitenzahl">
    <w:name w:val="page number"/>
    <w:basedOn w:val="Absatzstandardschriftart"/>
    <w:uiPriority w:val="99"/>
    <w:semiHidden/>
    <w:unhideWhenUsed/>
    <w:rsid w:val="00D476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6C44"/>
    <w:rPr>
      <w:rFonts w:eastAsiaTheme="minorEastAsia"/>
      <w:noProo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semiHidden/>
    <w:unhideWhenUsed/>
    <w:rsid w:val="002B49B1"/>
    <w:rPr>
      <w:sz w:val="20"/>
      <w:szCs w:val="20"/>
    </w:rPr>
  </w:style>
  <w:style w:type="character" w:customStyle="1" w:styleId="FunotentextZeichen">
    <w:name w:val="Fußnotentext Zeichen"/>
    <w:basedOn w:val="Absatzstandardschriftart"/>
    <w:link w:val="Funotentext"/>
    <w:uiPriority w:val="99"/>
    <w:semiHidden/>
    <w:rsid w:val="002B49B1"/>
    <w:rPr>
      <w:rFonts w:eastAsiaTheme="minorEastAsia"/>
      <w:noProof/>
      <w:sz w:val="20"/>
      <w:szCs w:val="20"/>
      <w:lang w:eastAsia="de-DE"/>
    </w:rPr>
  </w:style>
  <w:style w:type="character" w:styleId="Funotenzeichen">
    <w:name w:val="footnote reference"/>
    <w:basedOn w:val="Absatzstandardschriftart"/>
    <w:uiPriority w:val="99"/>
    <w:semiHidden/>
    <w:unhideWhenUsed/>
    <w:rsid w:val="002B49B1"/>
    <w:rPr>
      <w:vertAlign w:val="superscript"/>
    </w:rPr>
  </w:style>
  <w:style w:type="character" w:customStyle="1" w:styleId="apple-converted-space">
    <w:name w:val="apple-converted-space"/>
    <w:basedOn w:val="Absatzstandardschriftart"/>
    <w:rsid w:val="00FB0D9F"/>
  </w:style>
  <w:style w:type="character" w:styleId="Link">
    <w:name w:val="Hyperlink"/>
    <w:basedOn w:val="Absatzstandardschriftart"/>
    <w:uiPriority w:val="99"/>
    <w:semiHidden/>
    <w:unhideWhenUsed/>
    <w:rsid w:val="00FB0D9F"/>
    <w:rPr>
      <w:color w:val="0000FF"/>
      <w:u w:val="single"/>
    </w:rPr>
  </w:style>
  <w:style w:type="paragraph" w:styleId="Fuzeile">
    <w:name w:val="footer"/>
    <w:basedOn w:val="Standard"/>
    <w:link w:val="FuzeileZeichen"/>
    <w:uiPriority w:val="99"/>
    <w:unhideWhenUsed/>
    <w:rsid w:val="00D476CA"/>
    <w:pPr>
      <w:tabs>
        <w:tab w:val="center" w:pos="4703"/>
        <w:tab w:val="right" w:pos="9406"/>
      </w:tabs>
    </w:pPr>
  </w:style>
  <w:style w:type="character" w:customStyle="1" w:styleId="FuzeileZeichen">
    <w:name w:val="Fußzeile Zeichen"/>
    <w:basedOn w:val="Absatzstandardschriftart"/>
    <w:link w:val="Fuzeile"/>
    <w:uiPriority w:val="99"/>
    <w:rsid w:val="00D476CA"/>
    <w:rPr>
      <w:rFonts w:eastAsiaTheme="minorEastAsia"/>
      <w:noProof/>
      <w:sz w:val="24"/>
      <w:szCs w:val="24"/>
      <w:lang w:eastAsia="de-DE"/>
    </w:rPr>
  </w:style>
  <w:style w:type="character" w:styleId="Seitenzahl">
    <w:name w:val="page number"/>
    <w:basedOn w:val="Absatzstandardschriftart"/>
    <w:uiPriority w:val="99"/>
    <w:semiHidden/>
    <w:unhideWhenUsed/>
    <w:rsid w:val="00D4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e.wikipedia.org/wiki/Handlung" TargetMode="External"/><Relationship Id="rId10" Type="http://schemas.openxmlformats.org/officeDocument/2006/relationships/hyperlink" Target="https://de.wikipedia.org/wiki/Unterlassu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167F-6EAD-154A-B31F-D6AC820A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4901</Characters>
  <Application>Microsoft Macintosh Word</Application>
  <DocSecurity>0</DocSecurity>
  <Lines>40</Lines>
  <Paragraphs>11</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 ANKA</cp:lastModifiedBy>
  <cp:revision>10</cp:revision>
  <dcterms:created xsi:type="dcterms:W3CDTF">2015-06-24T06:39:00Z</dcterms:created>
  <dcterms:modified xsi:type="dcterms:W3CDTF">2015-06-24T08:48:00Z</dcterms:modified>
</cp:coreProperties>
</file>